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</w:t>
      </w:r>
      <w:proofErr w:type="spellStart"/>
      <w:r w:rsidRPr="00CF1FD6">
        <w:rPr>
          <w:rFonts w:asciiTheme="minorHAnsi" w:hAnsiTheme="minorHAnsi" w:cstheme="minorHAnsi"/>
          <w:sz w:val="22"/>
          <w:szCs w:val="22"/>
          <w:lang w:eastAsia="sk-SK"/>
        </w:rPr>
        <w:t>ust</w:t>
      </w:r>
      <w:proofErr w:type="spellEnd"/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</w:t>
      </w:r>
      <w:proofErr w:type="spellStart"/>
      <w:r w:rsidRPr="00CF1FD6">
        <w:rPr>
          <w:rFonts w:asciiTheme="minorHAnsi" w:hAnsiTheme="minorHAnsi" w:cstheme="minorHAnsi"/>
          <w:sz w:val="22"/>
          <w:szCs w:val="22"/>
          <w:lang w:eastAsia="sk-SK"/>
        </w:rPr>
        <w:t>nasl</w:t>
      </w:r>
      <w:proofErr w:type="spellEnd"/>
      <w:r w:rsidRPr="00CF1FD6">
        <w:rPr>
          <w:rFonts w:asciiTheme="minorHAnsi" w:hAnsiTheme="minorHAnsi" w:cstheme="minorHAnsi"/>
          <w:sz w:val="22"/>
          <w:szCs w:val="22"/>
          <w:lang w:eastAsia="sk-SK"/>
        </w:rPr>
        <w:t>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proofErr w:type="spellStart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</w:t>
      </w:r>
      <w:proofErr w:type="spellEnd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3130" w:rsidRPr="000D3130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0D3130" w:rsidRPr="000D3130">
        <w:rPr>
          <w:rFonts w:asciiTheme="minorHAnsi" w:hAnsiTheme="minorHAnsi" w:cstheme="minorHAnsi"/>
          <w:sz w:val="22"/>
          <w:szCs w:val="22"/>
        </w:rPr>
        <w:t xml:space="preserve">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25B8A0C3" w14:textId="2F7C3D2F" w:rsidR="00B90604" w:rsidRPr="00CF1FD6" w:rsidRDefault="00B90604" w:rsidP="00643338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1977E8">
        <w:rPr>
          <w:rFonts w:ascii="Calibri" w:hAnsi="Calibri" w:cs="Calibri"/>
          <w:b/>
          <w:bCs/>
          <w:sz w:val="22"/>
          <w:szCs w:val="22"/>
        </w:rPr>
        <w:t>odevný dizajn</w:t>
      </w:r>
    </w:p>
    <w:p w14:paraId="36FC1FCC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6B317F7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1977E8">
        <w:rPr>
          <w:rFonts w:ascii="Calibri" w:hAnsi="Calibri" w:cs="Calibri"/>
          <w:b/>
          <w:bCs/>
          <w:sz w:val="22"/>
          <w:szCs w:val="22"/>
        </w:rPr>
        <w:t>odevný dizajn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</w:t>
      </w:r>
      <w:proofErr w:type="spellStart"/>
      <w:r w:rsidRPr="00727B2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27B29">
        <w:rPr>
          <w:rFonts w:asciiTheme="minorHAnsi" w:hAnsiTheme="minorHAnsi" w:cstheme="minorHAnsi"/>
          <w:sz w:val="22"/>
          <w:szCs w:val="22"/>
        </w:rPr>
        <w:t xml:space="preserve">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A1684E" w:rsidRPr="000D3130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A1684E" w:rsidRPr="000D3130">
        <w:rPr>
          <w:rFonts w:asciiTheme="minorHAnsi" w:hAnsiTheme="minorHAnsi" w:cstheme="minorHAnsi"/>
          <w:sz w:val="22"/>
          <w:szCs w:val="22"/>
        </w:rPr>
        <w:t xml:space="preserve">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proofErr w:type="spellStart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</w:t>
      </w:r>
      <w:proofErr w:type="spellEnd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</w:t>
      </w:r>
      <w:proofErr w:type="spellStart"/>
      <w:r w:rsidR="00A331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A331A9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 xml:space="preserve">ak nastane niektorá zo skutočností uvedená v § 19 ods. 1 až 3 zákona č. 343/2015 </w:t>
      </w:r>
      <w:proofErr w:type="spellStart"/>
      <w:r w:rsidRPr="00CF1FD6">
        <w:rPr>
          <w:rFonts w:asciiTheme="minorHAnsi" w:hAnsiTheme="minorHAnsi" w:cstheme="minorHAnsi"/>
          <w:b/>
          <w:sz w:val="22"/>
          <w:szCs w:val="22"/>
        </w:rPr>
        <w:t>Z.z</w:t>
      </w:r>
      <w:proofErr w:type="spellEnd"/>
      <w:r w:rsidRPr="00CF1FD6">
        <w:rPr>
          <w:rFonts w:asciiTheme="minorHAnsi" w:hAnsiTheme="minorHAnsi" w:cstheme="minorHAnsi"/>
          <w:b/>
          <w:sz w:val="22"/>
          <w:szCs w:val="22"/>
        </w:rPr>
        <w:t>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87436" w:rsidRPr="00987436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987436" w:rsidRPr="00987436">
        <w:rPr>
          <w:rFonts w:asciiTheme="minorHAnsi" w:hAnsiTheme="minorHAnsi" w:cstheme="minorHAnsi"/>
          <w:sz w:val="22"/>
          <w:szCs w:val="22"/>
        </w:rPr>
        <w:t xml:space="preserve">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vadné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ustanovenie neodkladne nahradiť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bezvadným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, ktoré bude v najvyššie možnej miere zodpovedať obsahu a účelu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vadného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predstavuje slobodný a vážny prejav ich vôle, je pre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</w:t>
      </w:r>
      <w:proofErr w:type="spellStart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ante</w:t>
      </w:r>
      <w:proofErr w:type="spellEnd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finančnej opravy uvedenej v správe z kontroly a kumulatívneho splnenia podmienky na uplatnenie ex </w:t>
      </w:r>
      <w:proofErr w:type="spellStart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ante</w:t>
      </w:r>
      <w:proofErr w:type="spellEnd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1977E8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977E8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544C"/>
    <w:rsid w:val="00525468"/>
    <w:rsid w:val="00582E4B"/>
    <w:rsid w:val="00643338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9</cp:revision>
  <dcterms:created xsi:type="dcterms:W3CDTF">2022-06-03T09:41:00Z</dcterms:created>
  <dcterms:modified xsi:type="dcterms:W3CDTF">2022-06-03T21:14:00Z</dcterms:modified>
</cp:coreProperties>
</file>